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35" w:rsidRPr="001275A5" w:rsidRDefault="00611C35">
      <w:pPr>
        <w:spacing w:after="0"/>
        <w:ind w:left="120"/>
        <w:rPr>
          <w:lang w:val="ru-RU"/>
        </w:rPr>
      </w:pPr>
      <w:bookmarkStart w:id="0" w:name="block-17460316"/>
    </w:p>
    <w:p w:rsidR="001275A5" w:rsidRPr="002B06AA" w:rsidRDefault="001275A5" w:rsidP="00127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1275A5" w:rsidRPr="002B06AA" w:rsidRDefault="001275A5" w:rsidP="00127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:rsidR="001275A5" w:rsidRDefault="001275A5" w:rsidP="00127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1275A5" w:rsidRDefault="001275A5" w:rsidP="001275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75A5" w:rsidRDefault="001275A5" w:rsidP="001275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75A5" w:rsidRDefault="001275A5" w:rsidP="001275A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1275A5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1275A5" w:rsidRPr="002B06AA" w:rsidRDefault="00393899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</w:t>
            </w:r>
            <w:r w:rsidR="00696C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.2024</w:t>
            </w:r>
          </w:p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75A5" w:rsidRPr="002B06AA" w:rsidRDefault="001275A5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1275A5" w:rsidRPr="002B06AA" w:rsidRDefault="001275A5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1275A5" w:rsidRPr="002B06AA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   Н.Х. Заликова</w:t>
            </w:r>
          </w:p>
          <w:p w:rsidR="001275A5" w:rsidRPr="002B06AA" w:rsidRDefault="00881FCD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="003938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58</w:t>
            </w:r>
            <w:r w:rsidR="001275A5"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:rsidR="001275A5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DD25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25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="00DD25D2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DD25D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275A5" w:rsidRDefault="001275A5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5A5" w:rsidRPr="002B06AA" w:rsidRDefault="001275A5" w:rsidP="001275A5">
      <w:pPr>
        <w:spacing w:after="0"/>
        <w:ind w:left="120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1275A5" w:rsidRPr="002B06AA" w:rsidRDefault="001275A5" w:rsidP="001275A5">
      <w:pPr>
        <w:spacing w:after="0"/>
        <w:ind w:left="120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Default="001275A5" w:rsidP="001275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75A5" w:rsidRDefault="001275A5" w:rsidP="001275A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2345365)</w:t>
      </w:r>
    </w:p>
    <w:p w:rsidR="001275A5" w:rsidRDefault="001275A5" w:rsidP="001275A5">
      <w:pPr>
        <w:spacing w:after="0"/>
        <w:ind w:left="120"/>
        <w:jc w:val="center"/>
      </w:pPr>
    </w:p>
    <w:p w:rsidR="001275A5" w:rsidRPr="00DD25D2" w:rsidRDefault="001275A5" w:rsidP="001275A5">
      <w:pPr>
        <w:spacing w:after="0" w:line="408" w:lineRule="auto"/>
        <w:ind w:left="120"/>
        <w:jc w:val="center"/>
        <w:rPr>
          <w:lang w:val="ru-RU"/>
        </w:rPr>
      </w:pPr>
      <w:r w:rsidRPr="00DD25D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275A5" w:rsidRPr="00DD25D2" w:rsidRDefault="001275A5" w:rsidP="001275A5">
      <w:pPr>
        <w:spacing w:after="0" w:line="408" w:lineRule="auto"/>
        <w:ind w:left="120"/>
        <w:jc w:val="center"/>
        <w:rPr>
          <w:lang w:val="ru-RU"/>
        </w:rPr>
      </w:pPr>
      <w:r w:rsidRPr="00DD25D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D25D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5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DD25D2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DD25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DD25D2" w:rsidRDefault="001275A5" w:rsidP="001275A5">
      <w:pPr>
        <w:spacing w:after="0"/>
        <w:ind w:left="120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lang w:val="ru-RU"/>
        </w:rPr>
      </w:pPr>
    </w:p>
    <w:p w:rsidR="001275A5" w:rsidRPr="002B06AA" w:rsidRDefault="001275A5" w:rsidP="001275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275A5" w:rsidRDefault="001275A5" w:rsidP="001275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75A5" w:rsidRDefault="001275A5" w:rsidP="001275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75A5" w:rsidRPr="002B06AA" w:rsidRDefault="00696CCF" w:rsidP="001275A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Пензятка 2024</w:t>
      </w:r>
    </w:p>
    <w:p w:rsidR="00611C35" w:rsidRPr="00DD25D2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460317"/>
      <w:bookmarkEnd w:id="0"/>
      <w:r w:rsidRPr="00DD25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2E170E">
        <w:rPr>
          <w:rFonts w:ascii="Times New Roman" w:hAnsi="Times New Roman"/>
          <w:color w:val="000000"/>
          <w:sz w:val="28"/>
          <w:lang w:val="ru-RU"/>
        </w:rPr>
        <w:t xml:space="preserve">             </w:t>
      </w:r>
      <w:r w:rsidR="00AA3EC0">
        <w:rPr>
          <w:rFonts w:ascii="Times New Roman" w:hAnsi="Times New Roman"/>
          <w:color w:val="000000"/>
          <w:sz w:val="28"/>
          <w:lang w:val="ru-RU"/>
        </w:rPr>
        <w:t xml:space="preserve">          </w:t>
      </w:r>
      <w:r w:rsidR="002E17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25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11C35" w:rsidRPr="00DD25D2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5D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11C35" w:rsidRPr="00967F86" w:rsidRDefault="00611C35">
      <w:pPr>
        <w:rPr>
          <w:rFonts w:ascii="Times New Roman" w:hAnsi="Times New Roman" w:cs="Times New Roman"/>
          <w:sz w:val="24"/>
          <w:szCs w:val="24"/>
          <w:lang w:val="ru-RU"/>
        </w:rPr>
        <w:sectPr w:rsidR="00611C35" w:rsidRPr="00967F86">
          <w:pgSz w:w="11906" w:h="16383"/>
          <w:pgMar w:top="1134" w:right="850" w:bottom="1134" w:left="1701" w:header="720" w:footer="720" w:gutter="0"/>
          <w:cols w:space="720"/>
        </w:sect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460318"/>
      <w:bookmarkEnd w:id="1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967F8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«Сиринкс» К. Дебюсси).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их оттенков, осознание собственных душевных движений, способность к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967F86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7F86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движениемпо звукам аккордов;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611C35" w:rsidRPr="00967F86" w:rsidRDefault="00611C35">
      <w:pPr>
        <w:rPr>
          <w:rFonts w:ascii="Times New Roman" w:hAnsi="Times New Roman" w:cs="Times New Roman"/>
          <w:sz w:val="24"/>
          <w:szCs w:val="24"/>
          <w:lang w:val="ru-RU"/>
        </w:rPr>
        <w:sectPr w:rsidR="00611C35" w:rsidRPr="00967F86">
          <w:pgSz w:w="11906" w:h="16383"/>
          <w:pgMar w:top="1134" w:right="850" w:bottom="1134" w:left="1701" w:header="720" w:footer="720" w:gutter="0"/>
          <w:cols w:space="720"/>
        </w:sect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460319"/>
      <w:bookmarkEnd w:id="2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35" w:rsidRPr="00967F86" w:rsidRDefault="00611C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611C35" w:rsidRPr="00967F86" w:rsidRDefault="00611C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11C35" w:rsidRPr="00967F86" w:rsidRDefault="00611C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11C35" w:rsidRPr="00967F86" w:rsidRDefault="00611C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611C35" w:rsidRPr="00967F86" w:rsidRDefault="00611C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11C35" w:rsidRPr="00967F86" w:rsidRDefault="00611C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11C35" w:rsidRPr="00967F86" w:rsidRDefault="00611C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35" w:rsidRPr="00967F86" w:rsidRDefault="000E2F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инструментахпри исполнении народной песни;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611C35" w:rsidRPr="00967F86" w:rsidRDefault="000E2F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7F8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611C35" w:rsidRPr="00967F86" w:rsidRDefault="00611C35">
      <w:pPr>
        <w:rPr>
          <w:rFonts w:ascii="Times New Roman" w:hAnsi="Times New Roman" w:cs="Times New Roman"/>
          <w:sz w:val="24"/>
          <w:szCs w:val="24"/>
          <w:lang w:val="ru-RU"/>
        </w:rPr>
        <w:sectPr w:rsidR="00611C35" w:rsidRPr="00967F86">
          <w:pgSz w:w="11906" w:h="16383"/>
          <w:pgMar w:top="1134" w:right="850" w:bottom="1134" w:left="1701" w:header="720" w:footer="720" w:gutter="0"/>
          <w:cols w:space="720"/>
        </w:sectPr>
      </w:pPr>
    </w:p>
    <w:p w:rsidR="00611C35" w:rsidRPr="00967F86" w:rsidRDefault="00DD25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7460320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 -</w:t>
      </w:r>
      <w:r w:rsidR="000E2F6A"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E2F6A" w:rsidRPr="00967F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611C35" w:rsidRPr="00967F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11C35" w:rsidRPr="00967F86" w:rsidRDefault="00611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35" w:rsidRPr="00967F86" w:rsidRDefault="00611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35" w:rsidRPr="00967F86" w:rsidRDefault="00611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35" w:rsidRPr="00967F86" w:rsidRDefault="00611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35" w:rsidRPr="00967F86" w:rsidRDefault="00611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35" w:rsidRPr="00967F86" w:rsidRDefault="00611C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Пошла</w:t>
            </w:r>
            <w:proofErr w:type="gram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наигрыши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Плясовые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proofErr w:type="gram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Князь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Глюк</w:t>
            </w:r>
            <w:proofErr w:type="gram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«Шествие солнца».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пещере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короля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сюиты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Танец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саблями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балета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Гречанинова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создаёт музыкальный спектакль: В.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Порги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DD25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35" w:rsidRPr="00967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C35" w:rsidRPr="00967F86" w:rsidRDefault="00611C35">
      <w:pPr>
        <w:rPr>
          <w:rFonts w:ascii="Times New Roman" w:hAnsi="Times New Roman" w:cs="Times New Roman"/>
          <w:sz w:val="24"/>
          <w:szCs w:val="24"/>
        </w:rPr>
        <w:sectPr w:rsidR="00611C35" w:rsidRPr="00967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C35" w:rsidRPr="00967F86" w:rsidRDefault="00611C35">
      <w:pPr>
        <w:rPr>
          <w:rFonts w:ascii="Times New Roman" w:hAnsi="Times New Roman" w:cs="Times New Roman"/>
          <w:sz w:val="24"/>
          <w:szCs w:val="24"/>
        </w:rPr>
        <w:sectPr w:rsidR="00611C35" w:rsidRPr="00967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7460321"/>
      <w:bookmarkEnd w:id="6"/>
      <w:r w:rsidRPr="00967F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367865" w:rsidRPr="00967F8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</w:t>
      </w:r>
      <w:r w:rsidRPr="00967F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611C35" w:rsidRPr="00967F86" w:rsidRDefault="000E2F6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52"/>
        <w:gridCol w:w="4414"/>
        <w:gridCol w:w="976"/>
        <w:gridCol w:w="1449"/>
        <w:gridCol w:w="1323"/>
        <w:gridCol w:w="885"/>
        <w:gridCol w:w="15"/>
        <w:gridCol w:w="15"/>
        <w:gridCol w:w="987"/>
        <w:gridCol w:w="2824"/>
      </w:tblGrid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gridSpan w:val="3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2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D37EE7">
        <w:trPr>
          <w:trHeight w:val="930"/>
          <w:tblCellSpacing w:w="20" w:type="nil"/>
        </w:trPr>
        <w:tc>
          <w:tcPr>
            <w:tcW w:w="1152" w:type="dxa"/>
            <w:vMerge/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  <w:vMerge/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 w:rsidP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ческие ра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боты </w:t>
            </w:r>
          </w:p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2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7865" w:rsidRPr="00967F86" w:rsidTr="00367865">
        <w:trPr>
          <w:trHeight w:val="690"/>
          <w:tblCellSpacing w:w="20" w:type="nil"/>
        </w:trPr>
        <w:tc>
          <w:tcPr>
            <w:tcW w:w="1152" w:type="dxa"/>
            <w:vMerge/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  <w:vMerge/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vMerge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vMerge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</w:tcPr>
          <w:p w:rsidR="00367865" w:rsidRPr="00967F86" w:rsidRDefault="003678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7865" w:rsidRPr="00DD25D2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DD25D2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DD25D2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DD25D2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3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DD25D2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веселье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367865" w:rsidRPr="00DD25D2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67F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спектакль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джаза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367865" w:rsidRPr="00DE0AC9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  <w:proofErr w:type="spellEnd"/>
            <w:r w:rsidR="00DE0A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7865" w:rsidRPr="00967F86" w:rsidRDefault="003678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865" w:rsidRPr="00967F86" w:rsidTr="00367865">
        <w:trPr>
          <w:trHeight w:val="144"/>
          <w:tblCellSpacing w:w="20" w:type="nil"/>
        </w:trPr>
        <w:tc>
          <w:tcPr>
            <w:tcW w:w="5566" w:type="dxa"/>
            <w:gridSpan w:val="2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611C35" w:rsidRPr="00967F86" w:rsidRDefault="000E2F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26" w:type="dxa"/>
            <w:gridSpan w:val="5"/>
            <w:tcMar>
              <w:top w:w="50" w:type="dxa"/>
              <w:left w:w="100" w:type="dxa"/>
            </w:tcMar>
            <w:vAlign w:val="center"/>
          </w:tcPr>
          <w:p w:rsidR="00611C35" w:rsidRPr="00967F86" w:rsidRDefault="00611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C35" w:rsidRPr="00967F86" w:rsidRDefault="00611C35">
      <w:pPr>
        <w:rPr>
          <w:rFonts w:ascii="Times New Roman" w:hAnsi="Times New Roman" w:cs="Times New Roman"/>
          <w:sz w:val="24"/>
          <w:szCs w:val="24"/>
        </w:rPr>
        <w:sectPr w:rsidR="00611C35" w:rsidRPr="00967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C35" w:rsidRPr="00967F86" w:rsidRDefault="000E2F6A" w:rsidP="00B75000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611C35" w:rsidRPr="00967F8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67F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611C35" w:rsidRPr="00967F86" w:rsidRDefault="00611C35">
      <w:pPr>
        <w:rPr>
          <w:rFonts w:ascii="Times New Roman" w:hAnsi="Times New Roman" w:cs="Times New Roman"/>
          <w:sz w:val="24"/>
          <w:szCs w:val="24"/>
        </w:rPr>
        <w:sectPr w:rsidR="00611C35" w:rsidRPr="00967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C35" w:rsidRPr="00967F86" w:rsidRDefault="00611C35">
      <w:pPr>
        <w:rPr>
          <w:rFonts w:ascii="Times New Roman" w:hAnsi="Times New Roman" w:cs="Times New Roman"/>
          <w:sz w:val="24"/>
          <w:szCs w:val="24"/>
        </w:rPr>
        <w:sectPr w:rsidR="00611C35" w:rsidRPr="00967F8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7460322"/>
      <w:bookmarkEnd w:id="7"/>
    </w:p>
    <w:bookmarkEnd w:id="8"/>
    <w:p w:rsidR="000E2F6A" w:rsidRPr="00967F86" w:rsidRDefault="000E2F6A">
      <w:pPr>
        <w:rPr>
          <w:rFonts w:ascii="Times New Roman" w:hAnsi="Times New Roman" w:cs="Times New Roman"/>
          <w:sz w:val="24"/>
          <w:szCs w:val="24"/>
        </w:rPr>
      </w:pPr>
    </w:p>
    <w:sectPr w:rsidR="000E2F6A" w:rsidRPr="00967F86" w:rsidSect="00611C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C35"/>
    <w:rsid w:val="000D7A70"/>
    <w:rsid w:val="000E2F6A"/>
    <w:rsid w:val="000F4A78"/>
    <w:rsid w:val="001275A5"/>
    <w:rsid w:val="00220508"/>
    <w:rsid w:val="002E170E"/>
    <w:rsid w:val="00367865"/>
    <w:rsid w:val="00393899"/>
    <w:rsid w:val="00444B3C"/>
    <w:rsid w:val="0055099F"/>
    <w:rsid w:val="00611C35"/>
    <w:rsid w:val="00696CCF"/>
    <w:rsid w:val="006E0AEE"/>
    <w:rsid w:val="00776831"/>
    <w:rsid w:val="00781381"/>
    <w:rsid w:val="00881FCD"/>
    <w:rsid w:val="00967F86"/>
    <w:rsid w:val="00A35E0E"/>
    <w:rsid w:val="00AA3EC0"/>
    <w:rsid w:val="00AB007F"/>
    <w:rsid w:val="00AB2697"/>
    <w:rsid w:val="00B75000"/>
    <w:rsid w:val="00DD25D2"/>
    <w:rsid w:val="00DE0AC9"/>
    <w:rsid w:val="00EE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1C35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611C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B4CFC-CA62-48D9-BDA3-5682DA00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49</Pages>
  <Words>13275</Words>
  <Characters>75673</Characters>
  <Application>Microsoft Office Word</Application>
  <DocSecurity>0</DocSecurity>
  <Lines>630</Lines>
  <Paragraphs>177</Paragraphs>
  <ScaleCrop>false</ScaleCrop>
  <Company/>
  <LinksUpToDate>false</LinksUpToDate>
  <CharactersWithSpaces>88771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17</cp:revision>
  <dcterms:created xsi:type="dcterms:W3CDTF">2023-09-06T18:34:00Z</dcterms:created>
  <dcterms:modified xsi:type="dcterms:W3CDTF">2024-10-10T10:18:00Z</dcterms:modified>
</cp:coreProperties>
</file>